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4A0" w:firstRow="1" w:lastRow="0" w:firstColumn="1" w:lastColumn="0" w:noHBand="0" w:noVBand="1"/>
      </w:tblPr>
      <w:tblGrid>
        <w:gridCol w:w="674"/>
        <w:gridCol w:w="5104"/>
        <w:gridCol w:w="851"/>
        <w:gridCol w:w="850"/>
        <w:gridCol w:w="1985"/>
      </w:tblGrid>
      <w:tr w:rsidR="00C714BA" w14:paraId="4C8DFE38" w14:textId="77777777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BEE0E" w14:textId="77777777" w:rsidR="00C714BA" w:rsidRDefault="00FE5F7C" w:rsidP="007B76FE">
            <w:pPr>
              <w:pStyle w:val="Legenda"/>
              <w:rPr>
                <w:lang w:eastAsia="en-US"/>
              </w:rPr>
            </w:pPr>
            <w:r>
              <w:rPr>
                <w:lang w:eastAsia="en-US"/>
              </w:rPr>
              <w:t>Karta oceny oferty</w:t>
            </w:r>
          </w:p>
          <w:p w14:paraId="136852C0" w14:textId="77777777" w:rsidR="00C714BA" w:rsidRDefault="00C714BA">
            <w:pPr>
              <w:jc w:val="center"/>
              <w:rPr>
                <w:b/>
                <w:lang w:eastAsia="en-US"/>
              </w:rPr>
            </w:pPr>
          </w:p>
          <w:p w14:paraId="243B440D" w14:textId="5294AACB" w:rsidR="00C714BA" w:rsidRDefault="00FE5F7C">
            <w:pPr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w </w:t>
            </w:r>
            <w:r>
              <w:rPr>
                <w:b/>
                <w:lang w:eastAsia="en-US"/>
              </w:rPr>
              <w:t xml:space="preserve">otwartym konkursie ofert dla organizacji pozarządowych na realizację zadania  publicznego w sferze </w:t>
            </w:r>
            <w:r>
              <w:rPr>
                <w:rFonts w:eastAsia="Times New Roman"/>
                <w:b/>
                <w:kern w:val="0"/>
                <w:lang w:eastAsia="en-US"/>
              </w:rPr>
              <w:t>udzielania nieodpłatnej pomocy prawnej i świadczenia nieodpłatnego p</w:t>
            </w:r>
            <w:r w:rsidR="00652DCE">
              <w:rPr>
                <w:rFonts w:eastAsia="Times New Roman"/>
                <w:b/>
                <w:kern w:val="0"/>
                <w:lang w:eastAsia="en-US"/>
              </w:rPr>
              <w:t>oradnictwa obywatelskiego w 202</w:t>
            </w:r>
            <w:r w:rsidR="009C6013">
              <w:rPr>
                <w:rFonts w:eastAsia="Times New Roman"/>
                <w:b/>
                <w:kern w:val="0"/>
                <w:lang w:eastAsia="en-US"/>
              </w:rPr>
              <w:t>4</w:t>
            </w:r>
            <w:r>
              <w:rPr>
                <w:rFonts w:eastAsia="Times New Roman"/>
                <w:b/>
                <w:kern w:val="0"/>
                <w:lang w:eastAsia="en-US"/>
              </w:rPr>
              <w:t xml:space="preserve"> roku</w:t>
            </w:r>
            <w:r w:rsidR="007A33C0">
              <w:rPr>
                <w:rFonts w:eastAsia="Times New Roman"/>
                <w:b/>
                <w:kern w:val="0"/>
                <w:lang w:eastAsia="en-US"/>
              </w:rPr>
              <w:t xml:space="preserve"> w powiecie gorzowskim</w:t>
            </w:r>
          </w:p>
          <w:p w14:paraId="10AE7853" w14:textId="77777777" w:rsidR="00C714BA" w:rsidRDefault="00C714BA">
            <w:pPr>
              <w:spacing w:line="360" w:lineRule="auto"/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</w:pPr>
          </w:p>
          <w:p w14:paraId="104AB437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  <w:p w14:paraId="346D17C5" w14:textId="77777777" w:rsidR="00DB0B6D" w:rsidRDefault="00FE5F7C" w:rsidP="00DB0B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Oferent </w:t>
            </w:r>
            <w:r>
              <w:rPr>
                <w:sz w:val="20"/>
                <w:szCs w:val="20"/>
                <w:lang w:eastAsia="en-US"/>
              </w:rPr>
              <w:t>(nazwa organizacji pozarządowej)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4B41FA9C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  <w:p w14:paraId="5268613A" w14:textId="7C78BE51" w:rsidR="00C714BA" w:rsidRDefault="00FE5F7C" w:rsidP="00DB0B6D">
            <w:pPr>
              <w:spacing w:line="360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Tytuł zadania: </w:t>
            </w:r>
          </w:p>
          <w:p w14:paraId="0966BEB2" w14:textId="77777777" w:rsidR="00C714BA" w:rsidRDefault="00C714BA">
            <w:pPr>
              <w:spacing w:line="360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45AE7739" w14:textId="77777777" w:rsidR="00C714BA" w:rsidRDefault="00FE5F7C">
            <w:pPr>
              <w:spacing w:line="360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Wnioskowana kwota dotacji …………………………………………………………………..</w:t>
            </w:r>
          </w:p>
          <w:p w14:paraId="5120A743" w14:textId="77777777" w:rsidR="00C714BA" w:rsidRDefault="00C714BA">
            <w:pPr>
              <w:spacing w:line="360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6CBDA235" w14:textId="77777777" w:rsidR="00C714BA" w:rsidRDefault="00FE5F7C">
            <w:pPr>
              <w:spacing w:line="360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Proponowana kwota dotacji: …………………………………………………………………..</w:t>
            </w:r>
          </w:p>
          <w:p w14:paraId="4204C889" w14:textId="77777777" w:rsidR="00C714BA" w:rsidRDefault="00FE5F7C">
            <w:pPr>
              <w:spacing w:line="360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714BA" w14:paraId="0C0764FB" w14:textId="77777777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8AFF" w14:textId="77777777" w:rsidR="00C714BA" w:rsidRDefault="00FE5F7C">
            <w:pPr>
              <w:spacing w:line="360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Cs w:val="20"/>
                <w:lang w:eastAsia="en-US"/>
              </w:rPr>
              <w:t>I cześć - Ocena formalna</w:t>
            </w:r>
          </w:p>
        </w:tc>
      </w:tr>
      <w:tr w:rsidR="00C714BA" w14:paraId="663AAB0F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9ACE8" w14:textId="77777777" w:rsidR="00C714BA" w:rsidRDefault="00FE5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EAD6" w14:textId="77777777" w:rsidR="00C714BA" w:rsidRDefault="00FE5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01A8A" w14:textId="77777777" w:rsidR="00C714BA" w:rsidRDefault="00FE5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F148" w14:textId="77777777" w:rsidR="00C714BA" w:rsidRDefault="00FE5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2622" w14:textId="77777777" w:rsidR="00C714BA" w:rsidRDefault="00FE5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C714BA" w14:paraId="379D41AD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4DF1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FB2E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organizacja jest wpisana na listę organizacji pozarządowych, uprawnionych do prowadzenia punktów na obszarze województwa lubuskiego (art. 11 d. ust. 1 ustawy o nieodpłatnej pomocy prawnej, nieodpłatnym poradnictwie obywatelskim oraz edukacji prawnej (Dz. U. 2021 r. poz.945).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BEB74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48F85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94A4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714BA" w14:paraId="05C8171B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6B7B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1B28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dołączono decyzję o wpisie na listę stałych mediatorów, o której mowa w art. 4a ust. 6 z dnia 5.08.2015r. o nie nieodpłatnej pomocy prawnej, nieodpłatnym poradnictwie obywatelskim oraz edukacji prawnej (Dz. U. 2021 r. poz.945).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BC6B1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4333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DFA1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714BA" w14:paraId="2AB53ABC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B24B2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BC237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oferta została złożona w terminie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693FE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85335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1396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714BA" w14:paraId="4E3DE24F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FE97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5947D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oferta została podpisana przez osoby uprawnione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E4AA4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23724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A3772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714BA" w14:paraId="27640818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DEFF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9E7F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Czy oferta jest zgodna ze wzorem oferty określonej                       w Rozporządzeniu Przewodniczącego Komitetu do Spraw Pożytku Publicznego z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dnia 24.10.2018 r. w sprawie wzorów ofert  i ramowych wzorów umów dotyczących realizacji zadań publicznych oraz wzorów sprawozdań z wykonania tych zadań </w:t>
            </w:r>
            <w:r w:rsidRPr="007B76FE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(Dz.U. z 2018 r., poz.2057)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615F" w14:textId="77777777" w:rsidR="00C714BA" w:rsidRDefault="00C714BA">
            <w:pPr>
              <w:spacing w:line="360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87A7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BDB2D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714BA" w14:paraId="34E7CAD4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743C8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018F0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oferta zawiera wymagane załączniki:</w:t>
            </w:r>
          </w:p>
          <w:p w14:paraId="0D997B65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aktualny odpis z Krajowego Rejestru Sądowego lub innego właściwego rejestru;</w:t>
            </w:r>
          </w:p>
          <w:p w14:paraId="541F7AC0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w przypadku wyboru innego sposobu reprezentacji </w:t>
            </w:r>
            <w:r>
              <w:rPr>
                <w:sz w:val="20"/>
                <w:szCs w:val="20"/>
                <w:lang w:eastAsia="en-US"/>
              </w:rPr>
              <w:lastRenderedPageBreak/>
              <w:t>podmiotów składających ofertę wspólną niż wynikający z KRS lub innego właściwego rejestru – dokument potwierdzający upoważnienie do działania w imieniu oferenta</w:t>
            </w:r>
          </w:p>
          <w:p w14:paraId="56B50645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aktualny odpisu z rejestru lub odpowiednio wyciąg                        z ewidencji lub inne dokumenty potwierdzające status prawny oferenta (nie dotyczy podmiotów wpisanych do ewidencji prowadzonej przez Starostę Gorzowskiego),</w:t>
            </w:r>
          </w:p>
          <w:p w14:paraId="79BE5BD5" w14:textId="77777777" w:rsidR="00C714BA" w:rsidRDefault="00FE5F7C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kserokopię aktualnego statutu lub innego dokumentu zawierającego zakres działalności podmiotu oraz wskazujący organy uprawnione do reprezentacji potwierdzoną przez osobę uprawnioną do reprezentowania organizacji.</w:t>
            </w:r>
          </w:p>
          <w:p w14:paraId="16D5E142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F6397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5DB1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0DDF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714BA" w14:paraId="4D910FF4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F4EF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3BD1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oferta spełnia kryteria określone  w ogłoszeniu konkursowym? (w tym: rodzaj zadania, czas realizacji zadania, grupa odbiorców)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CB1EA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5AEA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6950E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714BA" w14:paraId="5D75DE86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E3A0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3EC1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kopie dokumentów są potwierdzone za zgodność                        z oryginałem?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E2C7C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D57A2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7B05D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714BA" w14:paraId="12019E76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6B125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69295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dołączono pisemne zobowiązania:</w:t>
            </w:r>
          </w:p>
          <w:p w14:paraId="70D25C88" w14:textId="77777777" w:rsidR="00C714BA" w:rsidRDefault="00FE5F7C">
            <w:pPr>
              <w:widowControl/>
              <w:suppressAutoHyphens w:val="0"/>
              <w:spacing w:line="360" w:lineRule="auto"/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a) zapewnienia poufności w związku z udzielaniem nieodpłatnej pomocy prawnej i jej dokumentowaniem </w:t>
            </w:r>
          </w:p>
          <w:p w14:paraId="5134B7A7" w14:textId="77777777" w:rsidR="00C714BA" w:rsidRDefault="00FE5F7C">
            <w:pPr>
              <w:widowControl/>
              <w:suppressAutoHyphens w:val="0"/>
              <w:spacing w:line="360" w:lineRule="auto"/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en-US"/>
              </w:rPr>
              <w:t>lub</w:t>
            </w:r>
          </w:p>
          <w:p w14:paraId="6E767162" w14:textId="77777777" w:rsidR="00C714BA" w:rsidRDefault="00FE5F7C">
            <w:pPr>
              <w:widowControl/>
              <w:suppressAutoHyphens w:val="0"/>
              <w:spacing w:line="36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en-US"/>
              </w:rPr>
              <w:t>poufności w związku ze świadczeniem nieodpłatnego poradnictwa obywatelskiego i jego dokumentowaniem,</w:t>
            </w:r>
          </w:p>
          <w:p w14:paraId="50E8B622" w14:textId="77777777" w:rsidR="00C714BA" w:rsidRDefault="00FE5F7C">
            <w:pPr>
              <w:widowControl/>
              <w:suppressAutoHyphens w:val="0"/>
              <w:spacing w:line="36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en-US"/>
              </w:rPr>
              <w:t>b) zapewnienia profesjonalnego i rzetelnego udzielania nieodpłatnej pomocy prawnej                                                          lub profesjonalnego i rzetelnego świadczenia nieodpłatnego poradnictwa obywatelskiego</w:t>
            </w:r>
          </w:p>
          <w:p w14:paraId="0AA0282C" w14:textId="77777777" w:rsidR="00C714BA" w:rsidRDefault="00FE5F7C">
            <w:pPr>
              <w:widowControl/>
              <w:suppressAutoHyphens w:val="0"/>
              <w:spacing w:line="36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c) zapewnienia: przestrzegania zasad etyki przy udzielaniu nieodpłatnej pomocy prawnej, w szczególności iw sytuacji, gdy zachodzi konflikt interesów                                                    lub                   </w:t>
            </w:r>
          </w:p>
          <w:p w14:paraId="3B08CD5C" w14:textId="137C7E55" w:rsidR="00C714BA" w:rsidRDefault="00FE5F7C" w:rsidP="007F2013">
            <w:pPr>
              <w:widowControl/>
              <w:suppressAutoHyphens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 przestrzegania zasad etyki przy świadczeniu nieodpłatnego poradnictwa obywatelskiego, w szczególności w sytuacji, gdy zachodzi konflikt interesów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B1571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73C8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0906E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714BA" w14:paraId="0376500C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8C7D1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8A8C" w14:textId="77777777" w:rsidR="00C714BA" w:rsidRDefault="00FE5F7C">
            <w:pPr>
              <w:spacing w:line="36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Czy </w:t>
            </w:r>
            <w:r w:rsidR="007A33C0">
              <w:rPr>
                <w:sz w:val="20"/>
                <w:szCs w:val="20"/>
                <w:lang w:eastAsia="en-US"/>
              </w:rPr>
              <w:t>dołączono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dokumenty potwierdzające spełnienie warunku posiadania: co najmniej dwuletniego doświadczenia  w wykonywaniu zadań wiążących się z udzielaniem porad prawnych lub świadczenia poradnictwa </w:t>
            </w: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en-US"/>
              </w:rPr>
              <w:lastRenderedPageBreak/>
              <w:t>obywatelskiego</w:t>
            </w:r>
          </w:p>
          <w:p w14:paraId="7A7DECBB" w14:textId="77777777" w:rsidR="00C714BA" w:rsidRDefault="00FE5F7C">
            <w:pPr>
              <w:spacing w:line="36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lub </w:t>
            </w:r>
          </w:p>
          <w:p w14:paraId="4BEFB3E6" w14:textId="77777777" w:rsidR="00C714BA" w:rsidRDefault="00FE5F7C">
            <w:pPr>
              <w:spacing w:line="360" w:lineRule="auto"/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co najmniej dwuletniego doświadczenia w wykonywaniu zadań wiążących się ze świadczeniem poradnictwa obywatelskiego, nabyte w okresie pięciu lat bezpośrednio poprzedzających złożenie oferty, </w:t>
            </w:r>
          </w:p>
          <w:p w14:paraId="45D56309" w14:textId="77777777" w:rsidR="00C714BA" w:rsidRDefault="00FE5F7C">
            <w:pPr>
              <w:spacing w:line="360" w:lineRule="auto"/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lub </w:t>
            </w:r>
          </w:p>
          <w:p w14:paraId="26451A00" w14:textId="77777777" w:rsidR="00C714BA" w:rsidRDefault="00FE5F7C">
            <w:pPr>
              <w:spacing w:line="360" w:lineRule="auto"/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en-US"/>
              </w:rPr>
              <w:t>co najmniej dwuletnie doświadczenie w wykonywaniu zadań  wiążących się z udzielaniem porad prawnych, informacji prawnych lub świadczeniem nieodpłatnego poradnictwa.</w:t>
            </w:r>
          </w:p>
          <w:p w14:paraId="440341A6" w14:textId="77777777" w:rsidR="00C714BA" w:rsidRDefault="00C714BA">
            <w:pPr>
              <w:spacing w:line="36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A5A5D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9928D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133A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714BA" w14:paraId="15A554FF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983C5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0B3C" w14:textId="77777777" w:rsidR="00C714BA" w:rsidRDefault="00FE5F7C">
            <w:pPr>
              <w:pStyle w:val="Akapitzlist"/>
              <w:spacing w:before="150" w:after="15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dołączono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zawarte umowy z adwokatem, radcą prawnym, doradcą podatkowym lub osobą, o której mowa w art. 11 ust. 3 pkt 2 ustawy z dnia 05.08.2015 r.  o nieodpłatnej pomocy prawnej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nieodpłatnym poradnictwie obywatelskim oraz edukacji prawnej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CC8E193" w14:textId="77777777" w:rsidR="00C714BA" w:rsidRDefault="00FE5F7C">
            <w:pPr>
              <w:pStyle w:val="Akapitzlist"/>
              <w:spacing w:before="150" w:after="15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lub</w:t>
            </w:r>
          </w:p>
          <w:p w14:paraId="7182AA01" w14:textId="77777777" w:rsidR="00C714BA" w:rsidRDefault="00FE5F7C">
            <w:pPr>
              <w:pStyle w:val="Akapitzlist"/>
              <w:spacing w:before="150" w:after="15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umowę zawartą z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doradcą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o któr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ym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mowa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w art. 11 ust. 3a oraz mediatorem, o którym mowa w art. 4a ust.6 ustawy z dnia 05.08.2015 r. o nieodpłatnej pomocy prawnej,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nieodpłatnym poradnictwie obywatelskim oraz edukacji prawnej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CC0CDE4" w14:textId="77777777" w:rsidR="00C714BA" w:rsidRDefault="00C714BA">
            <w:pPr>
              <w:pStyle w:val="Akapitzlist"/>
              <w:spacing w:before="150" w:after="150" w:line="360" w:lineRule="auto"/>
              <w:ind w:left="0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78276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4D283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CF024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714BA" w14:paraId="2B116769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A6BCB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60437" w14:textId="77777777" w:rsidR="00C714BA" w:rsidRDefault="00FE5F7C">
            <w:pPr>
              <w:pStyle w:val="Akapitzlist"/>
              <w:spacing w:before="150" w:after="15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 dołączono dokument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opisujący standardy obsługi                                 i wewnętrzny system kontroli jakości udzielania nieodpłatnej pomocy prawnej</w:t>
            </w:r>
          </w:p>
          <w:p w14:paraId="7B9C9808" w14:textId="77777777" w:rsidR="00C714BA" w:rsidRDefault="00FE5F7C">
            <w:pPr>
              <w:pStyle w:val="Akapitzlist"/>
              <w:spacing w:before="150" w:after="15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lub</w:t>
            </w:r>
          </w:p>
          <w:p w14:paraId="41816AE2" w14:textId="77777777" w:rsidR="00C714BA" w:rsidRDefault="00FE5F7C">
            <w:pPr>
              <w:pStyle w:val="Akapitzlist"/>
              <w:spacing w:before="150" w:after="15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-dokument opisujący standardy obsługi i wewnętrzny system kontroli jakości świadczonego nieodpłatnego poradnictwa obywatelskiego,</w:t>
            </w:r>
          </w:p>
          <w:p w14:paraId="1CEE433C" w14:textId="77777777" w:rsidR="007B76FE" w:rsidRDefault="007B76FE">
            <w:pPr>
              <w:pStyle w:val="Akapitzlist"/>
              <w:spacing w:before="150" w:after="15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  <w:p w14:paraId="71FC4FE2" w14:textId="77777777" w:rsidR="00C714BA" w:rsidRDefault="00C714BA">
            <w:pPr>
              <w:pStyle w:val="Akapitzlist"/>
              <w:spacing w:before="150" w:after="15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B96142F" w14:textId="77777777" w:rsidR="007F2013" w:rsidRDefault="007F2013">
            <w:pPr>
              <w:pStyle w:val="Akapitzlist"/>
              <w:spacing w:before="150" w:after="15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1428A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27E87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C515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714BA" w14:paraId="1467E564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E423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4E703" w14:textId="77777777" w:rsidR="00C714BA" w:rsidRDefault="00FE5F7C">
            <w:pPr>
              <w:pStyle w:val="Akapitzlist"/>
              <w:spacing w:before="150" w:after="15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 dołączono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oświadczenie, że organizacja pozarządowa rozliczyła się prawidłowo z dotacji przyznanych na realizację zadań w ciągu ostatnich dwóch lat, przy czym termin dwóch lat biegnie od dnia rozliczenia się z dotacji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lastRenderedPageBreak/>
              <w:t>i zwrotu nienależnych środków wraz z odsetkami albo rozwiązania umowy.</w:t>
            </w:r>
          </w:p>
          <w:p w14:paraId="09EF1ED5" w14:textId="77777777" w:rsidR="00C714BA" w:rsidRDefault="00C714BA">
            <w:pPr>
              <w:pStyle w:val="Akapitzlist"/>
              <w:spacing w:before="150" w:after="15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8275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9B5E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4F52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714BA" w14:paraId="7B823833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F6AE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6ABF" w14:textId="77777777" w:rsidR="00C714BA" w:rsidRDefault="00FE5F7C">
            <w:pPr>
              <w:pStyle w:val="Akapitzlist"/>
              <w:spacing w:before="150" w:after="15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rganizacja pozarządowa ubiegająca się o powierzenie prowadzenia punktu nieodpłatnego poradnictwa obywatelskiego dołączyła zaświadczenie, o którym mowa w art., 11 d ust. 9 ustawy o nieodpłatnej pomocy prawne, nieodpłatnym poradnictwie obywatelskim oraz edukacji prawnej.</w:t>
            </w:r>
          </w:p>
          <w:p w14:paraId="584EECD7" w14:textId="77777777" w:rsidR="00C714BA" w:rsidRDefault="00C714BA">
            <w:pPr>
              <w:pStyle w:val="Akapitzlist"/>
              <w:spacing w:before="150" w:after="15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CA92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3468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4CCE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714BA" w14:paraId="54AF512F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2F3AA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A9367" w14:textId="77777777" w:rsidR="00C714BA" w:rsidRDefault="00FE5F7C">
            <w:pPr>
              <w:pStyle w:val="Akapitzlist"/>
              <w:spacing w:before="150" w:after="15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dołączono oświadczenie, że oferent składający niniejsza ofertę nie zalega z opłacaniem należności z tytułu zobowiązań podatkowych.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BDAC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A2E81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B51F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714BA" w14:paraId="4168D0E8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A59B4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0423B" w14:textId="77777777" w:rsidR="00C714BA" w:rsidRDefault="00FE5F7C">
            <w:pPr>
              <w:pStyle w:val="Akapitzlist"/>
              <w:spacing w:before="150" w:after="15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dołączono oświadczenie, że oferent składający niniejsza ofertę nie zalega z opłacaniem należności z tytułu składek na ubezpieczenie społeczne.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9A43A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E3A42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D31D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D233829" w14:textId="77777777" w:rsidR="00C714BA" w:rsidRDefault="00C714BA">
      <w:pPr>
        <w:spacing w:line="360" w:lineRule="auto"/>
        <w:rPr>
          <w:sz w:val="20"/>
          <w:szCs w:val="20"/>
        </w:rPr>
      </w:pPr>
    </w:p>
    <w:p w14:paraId="7B2E5B9A" w14:textId="77777777" w:rsidR="00C714BA" w:rsidRDefault="00C714BA">
      <w:pPr>
        <w:spacing w:line="360" w:lineRule="auto"/>
        <w:rPr>
          <w:sz w:val="20"/>
          <w:szCs w:val="20"/>
        </w:rPr>
      </w:pPr>
    </w:p>
    <w:p w14:paraId="3C7D1390" w14:textId="77777777" w:rsidR="00C714BA" w:rsidRDefault="00C714BA">
      <w:pPr>
        <w:spacing w:line="360" w:lineRule="auto"/>
        <w:rPr>
          <w:sz w:val="20"/>
          <w:szCs w:val="20"/>
        </w:rPr>
      </w:pPr>
    </w:p>
    <w:p w14:paraId="25645574" w14:textId="77777777" w:rsidR="00C714BA" w:rsidRDefault="00FE5F7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przypadku niespełnienia jednego z ww. obligatoryjnych wymogów oferta zostaje odrzucona                       z przyczyn formalnych.</w:t>
      </w:r>
    </w:p>
    <w:p w14:paraId="152F0A53" w14:textId="77777777" w:rsidR="00C714BA" w:rsidRDefault="00C714BA">
      <w:pPr>
        <w:spacing w:line="360" w:lineRule="auto"/>
        <w:rPr>
          <w:sz w:val="20"/>
          <w:szCs w:val="20"/>
        </w:rPr>
      </w:pPr>
    </w:p>
    <w:p w14:paraId="48ABDB0F" w14:textId="77777777" w:rsidR="00C714BA" w:rsidRDefault="00C714BA">
      <w:pPr>
        <w:spacing w:line="360" w:lineRule="auto"/>
        <w:rPr>
          <w:sz w:val="20"/>
          <w:szCs w:val="20"/>
        </w:rPr>
      </w:pPr>
    </w:p>
    <w:p w14:paraId="03FF9E2D" w14:textId="77777777" w:rsidR="00C714BA" w:rsidRDefault="00C714BA">
      <w:pPr>
        <w:spacing w:line="360" w:lineRule="auto"/>
        <w:rPr>
          <w:sz w:val="20"/>
          <w:szCs w:val="20"/>
        </w:rPr>
      </w:pPr>
    </w:p>
    <w:p w14:paraId="0063E205" w14:textId="77777777" w:rsidR="00C714BA" w:rsidRDefault="00C714BA">
      <w:pPr>
        <w:spacing w:line="360" w:lineRule="auto"/>
        <w:rPr>
          <w:sz w:val="20"/>
          <w:szCs w:val="20"/>
        </w:rPr>
      </w:pPr>
    </w:p>
    <w:p w14:paraId="12E279BD" w14:textId="77777777" w:rsidR="00C714BA" w:rsidRDefault="00C714BA">
      <w:pPr>
        <w:spacing w:line="360" w:lineRule="auto"/>
        <w:rPr>
          <w:sz w:val="20"/>
          <w:szCs w:val="20"/>
        </w:rPr>
      </w:pPr>
    </w:p>
    <w:p w14:paraId="156509AD" w14:textId="77777777" w:rsidR="00C714BA" w:rsidRDefault="00C714BA">
      <w:pPr>
        <w:spacing w:line="360" w:lineRule="auto"/>
        <w:rPr>
          <w:sz w:val="20"/>
          <w:szCs w:val="20"/>
        </w:rPr>
      </w:pPr>
    </w:p>
    <w:p w14:paraId="6030F4AA" w14:textId="77777777" w:rsidR="00C714BA" w:rsidRDefault="00C714BA">
      <w:pPr>
        <w:spacing w:line="360" w:lineRule="auto"/>
        <w:rPr>
          <w:sz w:val="20"/>
          <w:szCs w:val="20"/>
        </w:rPr>
      </w:pPr>
    </w:p>
    <w:p w14:paraId="51270058" w14:textId="77777777" w:rsidR="00C714BA" w:rsidRDefault="00C714BA">
      <w:pPr>
        <w:spacing w:line="360" w:lineRule="auto"/>
        <w:rPr>
          <w:sz w:val="20"/>
          <w:szCs w:val="20"/>
        </w:rPr>
      </w:pPr>
    </w:p>
    <w:p w14:paraId="6045132C" w14:textId="77777777" w:rsidR="00C714BA" w:rsidRDefault="00C714BA">
      <w:pPr>
        <w:spacing w:line="360" w:lineRule="auto"/>
        <w:rPr>
          <w:sz w:val="20"/>
          <w:szCs w:val="20"/>
        </w:rPr>
      </w:pPr>
    </w:p>
    <w:p w14:paraId="54FD6BB4" w14:textId="77777777" w:rsidR="00C714BA" w:rsidRDefault="00C714BA">
      <w:pPr>
        <w:spacing w:line="360" w:lineRule="auto"/>
        <w:rPr>
          <w:sz w:val="20"/>
          <w:szCs w:val="20"/>
        </w:rPr>
      </w:pPr>
    </w:p>
    <w:p w14:paraId="1919C7BD" w14:textId="77777777" w:rsidR="00C714BA" w:rsidRDefault="00C714BA">
      <w:pPr>
        <w:spacing w:line="360" w:lineRule="auto"/>
        <w:rPr>
          <w:sz w:val="20"/>
          <w:szCs w:val="20"/>
        </w:rPr>
      </w:pPr>
    </w:p>
    <w:p w14:paraId="0D104DFE" w14:textId="77777777" w:rsidR="00C714BA" w:rsidRDefault="00C714BA">
      <w:pPr>
        <w:spacing w:line="360" w:lineRule="auto"/>
        <w:rPr>
          <w:sz w:val="20"/>
          <w:szCs w:val="20"/>
        </w:rPr>
      </w:pPr>
    </w:p>
    <w:p w14:paraId="458CC2D1" w14:textId="77777777" w:rsidR="00C714BA" w:rsidRDefault="00C714BA">
      <w:pPr>
        <w:spacing w:line="360" w:lineRule="auto"/>
        <w:rPr>
          <w:sz w:val="20"/>
          <w:szCs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1"/>
        <w:gridCol w:w="4325"/>
        <w:gridCol w:w="996"/>
        <w:gridCol w:w="2948"/>
      </w:tblGrid>
      <w:tr w:rsidR="00C714BA" w14:paraId="503600C4" w14:textId="77777777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B8F2" w14:textId="77777777" w:rsidR="00C714BA" w:rsidRDefault="00FE5F7C">
            <w:pPr>
              <w:spacing w:line="360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II Część. Ocena merytoryczna</w:t>
            </w:r>
          </w:p>
        </w:tc>
      </w:tr>
      <w:tr w:rsidR="00C714BA" w14:paraId="33C61F29" w14:textId="77777777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84BC6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  <w:p w14:paraId="190FCC57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  <w:p w14:paraId="0E1EDE2E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E4382" w14:textId="77777777" w:rsidR="00C714BA" w:rsidRDefault="00FE5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Kryteria oceny projektu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09FED" w14:textId="77777777" w:rsidR="00C714BA" w:rsidRDefault="00FE5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Ilość punktów</w:t>
            </w:r>
          </w:p>
          <w:p w14:paraId="7EF42ECB" w14:textId="77777777" w:rsidR="00C714BA" w:rsidRDefault="00FE5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*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430EE" w14:textId="77777777" w:rsidR="00C714BA" w:rsidRDefault="00FE5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Uwagi</w:t>
            </w:r>
          </w:p>
        </w:tc>
      </w:tr>
      <w:tr w:rsidR="00C714BA" w14:paraId="0F7C0225" w14:textId="77777777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635BF" w14:textId="77777777" w:rsidR="00C714BA" w:rsidRDefault="00FE5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8AFA9" w14:textId="77777777" w:rsidR="00C714BA" w:rsidRDefault="00FE5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Przygotowanie organizacji do realizacji zadania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C6FA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943D4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714BA" w14:paraId="53084168" w14:textId="77777777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B0F06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C1AE4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Posiadane zasoby kadrowe (wykształcenie, kwalifikacje realizatorów) 1-5 pkt.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8223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1C02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714BA" w14:paraId="4A3E9061" w14:textId="77777777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219E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0952B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Rzetelność i terminowość oraz sposób rozliczenia dotacji (dotyczy organizacji, które realizowały zadania zlecone w poprzednich latach) 1-5 pkt.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8CAE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C500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714BA" w14:paraId="54E0920B" w14:textId="77777777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AAFC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65E7" w14:textId="77777777" w:rsidR="00C714BA" w:rsidRDefault="00FE5F7C" w:rsidP="00FE5F7C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Możliwość ewentualnej obsługi 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większej liczby punktów nieodpłatnej pomocy prawnej,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przypadku gdy w otwartym konkursie ofert nie wpłynie żadna oferta na powierzenie prowadzenia punktu przeznaczonego na świadczenie nieodpłatnego poradnictwa obywatelskiego albo żadna ze złożonych ofert nie spełni wymogów konkursu w części dotyczącej świadczenia w punkcie nieodpłatnego poradnictwa obywatelskiego 0-3 pkt.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3F63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852B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714BA" w14:paraId="60324430" w14:textId="77777777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F9E84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104B8" w14:textId="77777777" w:rsidR="00C714BA" w:rsidRDefault="00FE5F7C">
            <w:pPr>
              <w:pStyle w:val="Akapitzlist"/>
              <w:spacing w:before="150" w:after="15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Porozumienia o wolontariacie zawarte z osobami, które będą wykonywały świadczenia przewidziane ustawą z dnia 15.06.2018 r. o zmianie ustawy                        o nieodpłatnej pomocy prawnej oraz edukacji prawnej oraz niektórych innych ustaw 1-5 pkt.</w:t>
            </w:r>
          </w:p>
          <w:p w14:paraId="2B9EEDB9" w14:textId="77777777" w:rsidR="00C714BA" w:rsidRDefault="00C714BA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94D2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021F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714BA" w14:paraId="1294983B" w14:textId="77777777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D8FB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6CC1B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 punkty: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071F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E589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714BA" w14:paraId="248FD969" w14:textId="77777777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0D2A4" w14:textId="77777777" w:rsidR="00C714BA" w:rsidRDefault="00FE5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DB28" w14:textId="77777777" w:rsidR="00C714BA" w:rsidRDefault="00FE5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Sposób realizacji zadania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77DA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BDCBB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714BA" w14:paraId="0F689FE6" w14:textId="77777777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46511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60171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Możliwość realizacji zadania przez oferenta (termin, adekwatność oferty, jakość przyjętych metod, zaplanowana liczba odbiorców, zakładane rezultaty) 1-5 pkt.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1EB5E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7280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714BA" w14:paraId="1CAA51E8" w14:textId="77777777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AF6B9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EB93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Planowany wkład osobowy, w tym świadczenia wolontariuszy i praca społeczna członków 1-5 pkt.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55479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6795B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714BA" w14:paraId="208EB5E3" w14:textId="77777777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ED73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62926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Korzyści wynikające z realizacji zadania dla mieszkańców powiatu 1-5 pkt.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55E83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79AE9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714BA" w14:paraId="13CD991F" w14:textId="77777777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85C1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C111B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 punkty:</w:t>
            </w:r>
          </w:p>
          <w:p w14:paraId="15592A67" w14:textId="77777777" w:rsidR="007B76FE" w:rsidRDefault="007B76FE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72FC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3DE8E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714BA" w14:paraId="438A1CBC" w14:textId="77777777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80231" w14:textId="77777777" w:rsidR="00C714BA" w:rsidRDefault="00FE5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8FA08" w14:textId="77777777" w:rsidR="00C714BA" w:rsidRDefault="00FE5F7C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Kalkulacja kosztów realizacji zadania, w tym w odniesieniu do zakresu rzeczowego zadania.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CAB6C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90FA5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714BA" w14:paraId="2A42C884" w14:textId="77777777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D3DFA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65F3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a) koszt realizacji zadania (czy budżet jest realny w stosunku do zadania, czy nie jest zawyżony lub </w:t>
            </w:r>
            <w:r>
              <w:rPr>
                <w:sz w:val="20"/>
                <w:szCs w:val="20"/>
                <w:lang w:eastAsia="en-US"/>
              </w:rPr>
              <w:lastRenderedPageBreak/>
              <w:t>zaniżony, czy wszystkie wydatki są koniec</w:t>
            </w:r>
            <w:r w:rsidR="007A33C0">
              <w:rPr>
                <w:sz w:val="20"/>
                <w:szCs w:val="20"/>
                <w:lang w:eastAsia="en-US"/>
              </w:rPr>
              <w:t>zne i uzasadnione</w:t>
            </w:r>
            <w:r>
              <w:rPr>
                <w:sz w:val="20"/>
                <w:szCs w:val="20"/>
                <w:lang w:eastAsia="en-US"/>
              </w:rPr>
              <w:t>) 1-5 pkt.</w:t>
            </w:r>
          </w:p>
          <w:p w14:paraId="10B71C15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0E65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E1E71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714BA" w14:paraId="77BD92FE" w14:textId="77777777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34658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885F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b) przejrzystość i szczegółowość kalkulacji (czy budżet jest czytelny, poszczególne pozycje dostatecznie opisane) 1-5 pkt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554A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EDB3E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714BA" w14:paraId="5928E4F9" w14:textId="77777777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0054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7034" w14:textId="77777777" w:rsidR="00C714BA" w:rsidRDefault="00FE5F7C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64FE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1F8C" w14:textId="77777777" w:rsidR="00C714BA" w:rsidRDefault="00C714BA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714BA" w14:paraId="5CAB0F26" w14:textId="77777777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F742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E4770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Doświadczenie  w realizacji podobnych zadań</w:t>
            </w:r>
          </w:p>
          <w:p w14:paraId="623770D2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a)realizacja jednego podobnego zadania -1 pkt</w:t>
            </w:r>
          </w:p>
          <w:p w14:paraId="03F02007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b)realizacja co najmniej 2 podobnych zadań -2 pkt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96A0F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6A029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714BA" w14:paraId="1F0B1C84" w14:textId="77777777"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FEDF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E7139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Staranność i przejrzystość przygotowania oferty wraz z załącznikami 0-2 pkt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A8B19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70D6F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714BA" w14:paraId="16E708AC" w14:textId="77777777"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1A87B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36D3" w14:textId="77777777" w:rsidR="00C714BA" w:rsidRDefault="00FE5F7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Doświadczenie we współpracy ze Starostwem Powiatowym w Gorzowie Wlkp.: rzetelność, terminowość i sposób rozliczenia dotacji:0-2 pkt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902B6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D397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714BA" w14:paraId="71A5940A" w14:textId="77777777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6688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4427" w14:textId="77777777" w:rsidR="00C714BA" w:rsidRDefault="00FE5F7C">
            <w:pPr>
              <w:spacing w:line="360" w:lineRule="auto"/>
            </w:pPr>
            <w:r>
              <w:rPr>
                <w:b/>
                <w:sz w:val="20"/>
                <w:szCs w:val="20"/>
                <w:lang w:eastAsia="en-US"/>
              </w:rPr>
              <w:t>Razem punkty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9505B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71C5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714BA" w14:paraId="32B38CC2" w14:textId="77777777"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3F09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842C3" w14:textId="77777777" w:rsidR="00C714BA" w:rsidRDefault="00FE5F7C">
            <w:pPr>
              <w:spacing w:line="360" w:lineRule="auto"/>
            </w:pPr>
            <w:r>
              <w:rPr>
                <w:b/>
                <w:sz w:val="20"/>
                <w:szCs w:val="20"/>
                <w:lang w:eastAsia="en-US"/>
              </w:rPr>
              <w:t>Punktacja końcowa 1 + 2 + 3 +4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634D7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FBA4" w14:textId="77777777" w:rsidR="00C714BA" w:rsidRDefault="00C714B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D2BC193" w14:textId="77777777" w:rsidR="00C714BA" w:rsidRDefault="00C714BA">
      <w:pPr>
        <w:spacing w:line="360" w:lineRule="auto"/>
        <w:rPr>
          <w:sz w:val="20"/>
          <w:szCs w:val="20"/>
        </w:rPr>
      </w:pPr>
    </w:p>
    <w:p w14:paraId="02ADE8BE" w14:textId="77777777" w:rsidR="00C714BA" w:rsidRDefault="00FE5F7C">
      <w:pPr>
        <w:spacing w:line="360" w:lineRule="auto"/>
      </w:pPr>
      <w:r>
        <w:rPr>
          <w:sz w:val="20"/>
          <w:szCs w:val="20"/>
        </w:rPr>
        <w:t xml:space="preserve"> </w:t>
      </w:r>
    </w:p>
    <w:p w14:paraId="64C6674F" w14:textId="77777777" w:rsidR="00C714BA" w:rsidRDefault="00C714BA">
      <w:pPr>
        <w:spacing w:line="360" w:lineRule="auto"/>
        <w:rPr>
          <w:sz w:val="20"/>
          <w:szCs w:val="20"/>
        </w:rPr>
      </w:pPr>
    </w:p>
    <w:p w14:paraId="2A763AF0" w14:textId="77777777" w:rsidR="00C714BA" w:rsidRDefault="00FE5F7C">
      <w:pPr>
        <w:spacing w:line="36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członka komisji konkursowej</w:t>
      </w:r>
    </w:p>
    <w:p w14:paraId="14BFCFA0" w14:textId="77777777" w:rsidR="00C714BA" w:rsidRDefault="00FE5F7C">
      <w:pPr>
        <w:spacing w:line="36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D8CD6B6" w14:textId="77777777" w:rsidR="00C714BA" w:rsidRDefault="00FE5F7C">
      <w:pPr>
        <w:spacing w:line="36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</w:t>
      </w:r>
    </w:p>
    <w:p w14:paraId="3F15D6B0" w14:textId="77777777" w:rsidR="00C714BA" w:rsidRDefault="00C714BA">
      <w:pPr>
        <w:spacing w:line="360" w:lineRule="auto"/>
        <w:rPr>
          <w:sz w:val="20"/>
          <w:szCs w:val="20"/>
        </w:rPr>
      </w:pPr>
    </w:p>
    <w:p w14:paraId="43D9FE38" w14:textId="77777777" w:rsidR="00C714BA" w:rsidRDefault="00FE5F7C">
      <w:pPr>
        <w:spacing w:line="360" w:lineRule="auto"/>
      </w:pPr>
      <w:r>
        <w:rPr>
          <w:sz w:val="20"/>
          <w:szCs w:val="20"/>
        </w:rPr>
        <w:t xml:space="preserve">        podpis sekretarza komisji</w:t>
      </w:r>
    </w:p>
    <w:p w14:paraId="1CFA93D8" w14:textId="77777777" w:rsidR="00C714BA" w:rsidRDefault="00FE5F7C">
      <w:pPr>
        <w:spacing w:line="360" w:lineRule="auto"/>
      </w:pPr>
      <w:r>
        <w:rPr>
          <w:sz w:val="20"/>
          <w:szCs w:val="20"/>
        </w:rPr>
        <w:t>……………………………………….</w:t>
      </w:r>
    </w:p>
    <w:p w14:paraId="540695B7" w14:textId="77777777" w:rsidR="00C714BA" w:rsidRDefault="00C714BA">
      <w:pPr>
        <w:spacing w:line="360" w:lineRule="auto"/>
        <w:rPr>
          <w:sz w:val="20"/>
          <w:szCs w:val="20"/>
        </w:rPr>
      </w:pPr>
    </w:p>
    <w:p w14:paraId="1BAA7BED" w14:textId="77777777" w:rsidR="00C714BA" w:rsidRDefault="00C714BA">
      <w:pPr>
        <w:spacing w:line="360" w:lineRule="auto"/>
        <w:rPr>
          <w:sz w:val="20"/>
          <w:szCs w:val="20"/>
        </w:rPr>
      </w:pPr>
    </w:p>
    <w:p w14:paraId="766102E5" w14:textId="77777777" w:rsidR="00C714BA" w:rsidRDefault="00C714BA">
      <w:pPr>
        <w:spacing w:line="360" w:lineRule="auto"/>
        <w:rPr>
          <w:sz w:val="20"/>
          <w:szCs w:val="20"/>
        </w:rPr>
      </w:pPr>
    </w:p>
    <w:p w14:paraId="02B8F631" w14:textId="77777777" w:rsidR="00C714BA" w:rsidRDefault="00C714BA">
      <w:pPr>
        <w:spacing w:line="360" w:lineRule="auto"/>
      </w:pPr>
    </w:p>
    <w:sectPr w:rsidR="00C714B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4BA"/>
    <w:rsid w:val="00353F8E"/>
    <w:rsid w:val="003F04BB"/>
    <w:rsid w:val="00652DCE"/>
    <w:rsid w:val="007A33C0"/>
    <w:rsid w:val="007B76FE"/>
    <w:rsid w:val="007F2013"/>
    <w:rsid w:val="009C6013"/>
    <w:rsid w:val="00B913F0"/>
    <w:rsid w:val="00C714BA"/>
    <w:rsid w:val="00CA35EC"/>
    <w:rsid w:val="00DB0B6D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011F"/>
  <w15:docId w15:val="{0DE97855-C29B-4231-8F0D-5C5D7285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FDE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0D6FDE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0BBB"/>
    <w:rPr>
      <w:rFonts w:ascii="Tahoma" w:eastAsia="Lucida Sans Unicode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0D6FDE"/>
    <w:pPr>
      <w:widowControl/>
      <w:suppressAutoHyphens w:val="0"/>
      <w:jc w:val="both"/>
    </w:pPr>
    <w:rPr>
      <w:rFonts w:ascii="Tahoma" w:eastAsia="Times New Roman" w:hAnsi="Tahoma"/>
      <w:color w:val="000000"/>
      <w:kern w:val="0"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41FA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uk-UA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0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8020-70C0-45F6-BA6C-4EDFB8BE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Buszkiewicz</dc:creator>
  <dc:description/>
  <cp:lastModifiedBy>Monika Klimczak</cp:lastModifiedBy>
  <cp:revision>18</cp:revision>
  <cp:lastPrinted>2021-11-23T10:55:00Z</cp:lastPrinted>
  <dcterms:created xsi:type="dcterms:W3CDTF">2021-11-18T14:17:00Z</dcterms:created>
  <dcterms:modified xsi:type="dcterms:W3CDTF">2024-02-07T11:01:00Z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